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A26EF" w14:textId="77777777" w:rsidR="00E04EA7" w:rsidRPr="00EA2224" w:rsidRDefault="00E04EA7" w:rsidP="00E04EA7">
      <w:pPr>
        <w:pStyle w:val="MDPI31text"/>
        <w:ind w:left="0" w:firstLine="0"/>
        <w:rPr>
          <w:iCs/>
          <w:sz w:val="16"/>
          <w:szCs w:val="16"/>
        </w:rPr>
      </w:pPr>
      <w:bookmarkStart w:id="0" w:name="_Hlk160789762"/>
      <w:r w:rsidRPr="00EA2224">
        <w:rPr>
          <w:iCs/>
          <w:sz w:val="16"/>
          <w:szCs w:val="16"/>
        </w:rPr>
        <w:t xml:space="preserve">Supplemental Table 2. Transcription factors interactions according to the STRING database. The table shows direct interactions between non-members of the KLF family and their target genes. </w:t>
      </w:r>
    </w:p>
    <w:bookmarkEnd w:id="0"/>
    <w:p w14:paraId="4C0474FE" w14:textId="77777777" w:rsidR="00E04EA7" w:rsidRPr="00EA2224" w:rsidRDefault="00E04EA7" w:rsidP="00E04EA7">
      <w:pPr>
        <w:pStyle w:val="MDPI63Notes"/>
        <w:rPr>
          <w:iCs/>
        </w:rPr>
      </w:pPr>
    </w:p>
    <w:tbl>
      <w:tblPr>
        <w:tblW w:w="992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7"/>
        <w:gridCol w:w="1648"/>
        <w:gridCol w:w="6701"/>
      </w:tblGrid>
      <w:tr w:rsidR="00E04EA7" w:rsidRPr="00EA2224" w14:paraId="5815B3F9" w14:textId="77777777" w:rsidTr="00BA0824">
        <w:trPr>
          <w:trHeight w:val="705"/>
          <w:jc w:val="center"/>
        </w:trPr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620909C4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EA2224">
              <w:rPr>
                <w:b/>
                <w:bCs/>
                <w:iCs/>
                <w:sz w:val="22"/>
                <w:szCs w:val="22"/>
              </w:rPr>
              <w:t>Transcription factor family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0FC887B6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EA2224">
              <w:rPr>
                <w:b/>
                <w:bCs/>
                <w:iCs/>
                <w:sz w:val="22"/>
                <w:szCs w:val="22"/>
              </w:rPr>
              <w:t>Gene</w:t>
            </w:r>
          </w:p>
        </w:tc>
        <w:tc>
          <w:tcPr>
            <w:tcW w:w="705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1B0B0CFD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EA2224">
              <w:rPr>
                <w:b/>
                <w:bCs/>
                <w:iCs/>
                <w:sz w:val="22"/>
                <w:szCs w:val="22"/>
              </w:rPr>
              <w:t>Direct interaction</w:t>
            </w:r>
          </w:p>
          <w:p w14:paraId="11FDFE69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04EA7" w:rsidRPr="00EA2224" w14:paraId="1FAE0C64" w14:textId="77777777" w:rsidTr="00BA0824">
        <w:trPr>
          <w:trHeight w:val="45"/>
          <w:jc w:val="center"/>
        </w:trPr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53A62947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SP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288A701F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SP1</w:t>
            </w:r>
          </w:p>
        </w:tc>
        <w:tc>
          <w:tcPr>
            <w:tcW w:w="705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61FC1B3E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COL1A1, NR3C1, TBPL1, TBPL2 MYOD1, HBZ, MDM2, EPAS1, ICAM1, LEF1, RB1, NCOR1, MBNL1, FASN, FOS, HCFC1, PRKACA, DHFR2, HNF1A, MEF2C, IL6, DMPK, MTOR, FHL2, TFDP2, NF1, FDFT1, NCOA1, TFAP2A, ESR1</w:t>
            </w:r>
          </w:p>
        </w:tc>
      </w:tr>
      <w:tr w:rsidR="00E04EA7" w:rsidRPr="00EA2224" w14:paraId="723E45BC" w14:textId="77777777" w:rsidTr="00BA0824">
        <w:trPr>
          <w:trHeight w:val="45"/>
          <w:jc w:val="center"/>
        </w:trPr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731E1D42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SP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6555715F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SP2</w:t>
            </w:r>
          </w:p>
        </w:tc>
        <w:tc>
          <w:tcPr>
            <w:tcW w:w="705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19EB4838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FHL2</w:t>
            </w:r>
          </w:p>
        </w:tc>
      </w:tr>
      <w:tr w:rsidR="00E04EA7" w:rsidRPr="00EA2224" w14:paraId="7DFCC72E" w14:textId="77777777" w:rsidTr="00BA0824">
        <w:trPr>
          <w:trHeight w:val="45"/>
          <w:jc w:val="center"/>
        </w:trPr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5A0642BE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SP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3D3B6032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SP3</w:t>
            </w:r>
          </w:p>
        </w:tc>
        <w:tc>
          <w:tcPr>
            <w:tcW w:w="705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29E62A98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SLC20A1, NF1, SUMO1, DYRK1A, ESR1</w:t>
            </w:r>
          </w:p>
        </w:tc>
      </w:tr>
      <w:tr w:rsidR="00E04EA7" w:rsidRPr="00EA2224" w14:paraId="47589575" w14:textId="77777777" w:rsidTr="00BA0824">
        <w:trPr>
          <w:trHeight w:val="45"/>
          <w:jc w:val="center"/>
        </w:trPr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6572383A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SP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69E40779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SP4</w:t>
            </w:r>
          </w:p>
        </w:tc>
        <w:tc>
          <w:tcPr>
            <w:tcW w:w="705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6BFF9734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NRL, GJA5</w:t>
            </w:r>
          </w:p>
        </w:tc>
      </w:tr>
      <w:tr w:rsidR="00E04EA7" w:rsidRPr="00EA2224" w14:paraId="5D591C93" w14:textId="77777777" w:rsidTr="00BA0824">
        <w:trPr>
          <w:trHeight w:val="45"/>
          <w:jc w:val="center"/>
        </w:trPr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2C6A952D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SP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0FE9B9DD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SP5</w:t>
            </w:r>
          </w:p>
        </w:tc>
        <w:tc>
          <w:tcPr>
            <w:tcW w:w="705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148C16F3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PEX11B</w:t>
            </w:r>
          </w:p>
        </w:tc>
      </w:tr>
      <w:tr w:rsidR="00E04EA7" w:rsidRPr="00EA2224" w14:paraId="69C7DF52" w14:textId="77777777" w:rsidTr="00BA0824">
        <w:trPr>
          <w:trHeight w:val="45"/>
          <w:jc w:val="center"/>
        </w:trPr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3EAA2B5D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SP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214E6135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SP6</w:t>
            </w:r>
          </w:p>
        </w:tc>
        <w:tc>
          <w:tcPr>
            <w:tcW w:w="705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56F40099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HHEX, JAZF1, FHL2, CA1, CAMK1D, TCF7L2</w:t>
            </w:r>
          </w:p>
        </w:tc>
      </w:tr>
      <w:tr w:rsidR="00E04EA7" w:rsidRPr="00EA2224" w14:paraId="6396F094" w14:textId="77777777" w:rsidTr="00BA0824">
        <w:trPr>
          <w:trHeight w:val="465"/>
          <w:jc w:val="center"/>
        </w:trPr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33CF42A7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*SP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313CCFCB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SP7</w:t>
            </w:r>
          </w:p>
        </w:tc>
        <w:tc>
          <w:tcPr>
            <w:tcW w:w="705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04FC7165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ACP5, STUB1, COL1A1, SOX9, CD68, LEF1, FGF18, PLOD2, TNFRSF11B, SOST, FOS, FGF3, MEF2C, DMP1, ADAMTS4, NES, DKK1, IFITM5, IGF1, MEPE, CCK, IL6, ACAN, CD44, FGF16, ESR1, DLX5</w:t>
            </w:r>
          </w:p>
        </w:tc>
      </w:tr>
      <w:tr w:rsidR="00E04EA7" w:rsidRPr="00EA2224" w14:paraId="4940A8DA" w14:textId="77777777" w:rsidTr="00BA0824">
        <w:trPr>
          <w:trHeight w:val="45"/>
          <w:jc w:val="center"/>
        </w:trPr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30984325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SP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5C54B310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SP8</w:t>
            </w:r>
          </w:p>
        </w:tc>
        <w:tc>
          <w:tcPr>
            <w:tcW w:w="705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386657BC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PVALB, LEF1, GAD1, BAG3, TBR1, LHX6, DLX5, ENO1, PAX6</w:t>
            </w:r>
          </w:p>
        </w:tc>
      </w:tr>
      <w:tr w:rsidR="00E04EA7" w:rsidRPr="00EA2224" w14:paraId="17839848" w14:textId="77777777" w:rsidTr="00BA0824">
        <w:trPr>
          <w:trHeight w:val="45"/>
          <w:jc w:val="center"/>
        </w:trPr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509AA011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SP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56FB8317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SP9</w:t>
            </w:r>
          </w:p>
        </w:tc>
        <w:tc>
          <w:tcPr>
            <w:tcW w:w="705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09E0FE2C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LHX6</w:t>
            </w:r>
          </w:p>
        </w:tc>
      </w:tr>
      <w:tr w:rsidR="00E04EA7" w:rsidRPr="00EA2224" w14:paraId="173118B1" w14:textId="77777777" w:rsidTr="00BA0824">
        <w:trPr>
          <w:trHeight w:val="726"/>
          <w:jc w:val="center"/>
        </w:trPr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2E75C1C6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WT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76978492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WT1</w:t>
            </w:r>
          </w:p>
        </w:tc>
        <w:tc>
          <w:tcPr>
            <w:tcW w:w="705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2DC5C55C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IL2, IFNG, MLH1, FLT3, SOX9, MYOD1, KRT5, THAP1, MDM2, SULF1, PAX8, EPCAM, LEF1, STAR, ATM, WNT9B, RAD21, MN1, TBX5, NKX2-5, GATA2, NF1, NUP214, RBMX, NFIA, CSF3R, AMER1, VIM, PBX1, TNNT2, CD44, FBXW7, PMEL, CITED1, CD8A, MYH11, IDH1, ESR1, PAX6, IGF2, TET2</w:t>
            </w:r>
          </w:p>
        </w:tc>
      </w:tr>
      <w:tr w:rsidR="00E04EA7" w:rsidRPr="00EA2224" w14:paraId="4631569B" w14:textId="77777777" w:rsidTr="00BA0824">
        <w:trPr>
          <w:trHeight w:val="45"/>
          <w:jc w:val="center"/>
        </w:trPr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518CEF9A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PATZ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26D0D4B8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PATZ1</w:t>
            </w:r>
          </w:p>
        </w:tc>
        <w:tc>
          <w:tcPr>
            <w:tcW w:w="705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347D4E4B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SNRPC, ESR1, CD8A, NR4A3, NCOR1</w:t>
            </w:r>
          </w:p>
        </w:tc>
      </w:tr>
      <w:tr w:rsidR="00E04EA7" w:rsidRPr="00EA2224" w14:paraId="4AD8B4D5" w14:textId="77777777" w:rsidTr="00BA0824">
        <w:trPr>
          <w:trHeight w:val="213"/>
          <w:jc w:val="center"/>
        </w:trPr>
        <w:tc>
          <w:tcPr>
            <w:tcW w:w="117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6DD45D76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SALL4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071259F4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SALL4</w:t>
            </w:r>
          </w:p>
        </w:tc>
        <w:tc>
          <w:tcPr>
            <w:tcW w:w="705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4" w:type="dxa"/>
              <w:bottom w:w="0" w:type="dxa"/>
              <w:right w:w="104" w:type="dxa"/>
            </w:tcMar>
            <w:hideMark/>
          </w:tcPr>
          <w:p w14:paraId="66119046" w14:textId="77777777" w:rsidR="00E04EA7" w:rsidRPr="00EA2224" w:rsidRDefault="00E04EA7" w:rsidP="00BA0824">
            <w:pPr>
              <w:pStyle w:val="MDPI63Notes"/>
              <w:spacing w:before="0"/>
              <w:jc w:val="center"/>
              <w:rPr>
                <w:iCs/>
                <w:sz w:val="20"/>
              </w:rPr>
            </w:pPr>
            <w:r w:rsidRPr="00EA2224">
              <w:rPr>
                <w:iCs/>
                <w:sz w:val="20"/>
              </w:rPr>
              <w:t>TBX3, LEFTY2, ADAMTS18, SOX15, TBR1, EPCAM, PAX8, ALPP, GJA5, KDM2B, EPAS1, TET2, TBX6, PBX1, EED, NKX2-5, TBX5</w:t>
            </w:r>
          </w:p>
        </w:tc>
      </w:tr>
    </w:tbl>
    <w:p w14:paraId="29100C86" w14:textId="77777777" w:rsidR="006F7C3F" w:rsidRDefault="006F7C3F"/>
    <w:sectPr w:rsidR="006F7C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EA7"/>
    <w:rsid w:val="006E62D0"/>
    <w:rsid w:val="006F7C3F"/>
    <w:rsid w:val="00E0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B3388"/>
  <w15:chartTrackingRefBased/>
  <w15:docId w15:val="{B3DF76BC-5927-4F98-BC63-962CDE489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4EA7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2D0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62D0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62D0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MX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62D0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s-MX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62D0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s-MX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62D0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s-MX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62D0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s-MX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62D0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s-MX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62D0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s-MX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62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62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62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62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62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62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62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62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62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62D0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s-MX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E62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62D0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MX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E62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uiPriority w:val="34"/>
    <w:qFormat/>
    <w:rsid w:val="006E62D0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4"/>
      <w:szCs w:val="24"/>
      <w:lang w:val="es-MX" w:eastAsia="en-US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6E62D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s-MX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E62D0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62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s-MX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62D0"/>
    <w:rPr>
      <w:i/>
      <w:iCs/>
      <w:color w:val="0F4761" w:themeColor="accent1" w:themeShade="BF"/>
    </w:rPr>
  </w:style>
  <w:style w:type="character" w:styleId="IntenseEmphasis">
    <w:name w:val="Intense Emphasis"/>
    <w:basedOn w:val="DefaultParagraphFont"/>
    <w:uiPriority w:val="21"/>
    <w:qFormat/>
    <w:rsid w:val="006E62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62D0"/>
    <w:rPr>
      <w:b/>
      <w:bCs/>
      <w:smallCaps/>
      <w:color w:val="0F4761" w:themeColor="accent1" w:themeShade="BF"/>
      <w:spacing w:val="5"/>
    </w:rPr>
  </w:style>
  <w:style w:type="paragraph" w:customStyle="1" w:styleId="MDPI31text">
    <w:name w:val="MDPI_3.1_text"/>
    <w:qFormat/>
    <w:rsid w:val="00E04EA7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MDPI63Notes">
    <w:name w:val="MDPI_6.3_Notes"/>
    <w:qFormat/>
    <w:rsid w:val="00E04EA7"/>
    <w:pPr>
      <w:adjustRightInd w:val="0"/>
      <w:snapToGrid w:val="0"/>
      <w:spacing w:before="240" w:after="0" w:line="228" w:lineRule="auto"/>
      <w:jc w:val="both"/>
    </w:pPr>
    <w:rPr>
      <w:rFonts w:ascii="Palatino Linotype" w:eastAsia="SimSun" w:hAnsi="Palatino Linotype" w:cs="Times New Roman"/>
      <w:snapToGrid w:val="0"/>
      <w:color w:val="000000"/>
      <w:kern w:val="0"/>
      <w:sz w:val="18"/>
      <w:szCs w:val="20"/>
      <w:lang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 2013 - 2022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Francisco Islas</dc:creator>
  <cp:keywords/>
  <dc:description/>
  <cp:lastModifiedBy>Jose Francisco Islas</cp:lastModifiedBy>
  <cp:revision>1</cp:revision>
  <dcterms:created xsi:type="dcterms:W3CDTF">2024-03-08T19:07:00Z</dcterms:created>
  <dcterms:modified xsi:type="dcterms:W3CDTF">2024-03-08T19:07:00Z</dcterms:modified>
</cp:coreProperties>
</file>